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711DD9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4C47D3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4C47D3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711DD9" w:rsidRDefault="004C47D3" w:rsidP="004C47D3">
            <w:r w:rsidRPr="004C47D3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443B3DB2" w:rsidR="004C47D3" w:rsidRPr="00711DD9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11DD9">
              <w:rPr>
                <w:b/>
                <w:bCs/>
                <w:sz w:val="24"/>
                <w:szCs w:val="24"/>
              </w:rPr>
              <w:t xml:space="preserve">Date: </w:t>
            </w:r>
            <w:r w:rsidR="00633F8B">
              <w:rPr>
                <w:b/>
                <w:bCs/>
                <w:sz w:val="24"/>
                <w:szCs w:val="24"/>
              </w:rPr>
              <w:t>February 25, 2025</w:t>
            </w:r>
          </w:p>
          <w:p w14:paraId="66666E25" w14:textId="16C56363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Time: </w:t>
            </w:r>
            <w:r w:rsidR="00C45F55">
              <w:rPr>
                <w:b/>
                <w:sz w:val="24"/>
              </w:rPr>
              <w:t>1:30 p.m.</w:t>
            </w:r>
          </w:p>
          <w:p w14:paraId="029C6733" w14:textId="1332E15F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Location: </w:t>
            </w:r>
            <w:r w:rsidR="00C45F55">
              <w:rPr>
                <w:b/>
                <w:sz w:val="24"/>
              </w:rPr>
              <w:t>Zoom</w:t>
            </w:r>
          </w:p>
        </w:tc>
      </w:tr>
      <w:bookmarkEnd w:id="0"/>
      <w:tr w:rsidR="004C47D3" w:rsidRPr="00711DD9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711DD9" w:rsidRDefault="004C47D3" w:rsidP="00FF60A0">
            <w:pPr>
              <w:pStyle w:val="Standard1"/>
            </w:pPr>
          </w:p>
        </w:tc>
      </w:tr>
      <w:tr w:rsidR="004C47D3" w:rsidRPr="00711DD9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711DD9" w:rsidRDefault="004C47D3" w:rsidP="00FF60A0">
            <w:pPr>
              <w:pStyle w:val="Standard1"/>
            </w:pPr>
            <w:bookmarkStart w:id="2" w:name="Names" w:colFirst="0" w:colLast="4"/>
            <w:r w:rsidRPr="00711DD9">
              <w:t>Meeting called by: Dr. Janice Blum</w:t>
            </w:r>
          </w:p>
        </w:tc>
      </w:tr>
      <w:bookmarkEnd w:id="2"/>
      <w:tr w:rsidR="004C47D3" w:rsidRPr="00711DD9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711DD9" w:rsidRDefault="004C47D3" w:rsidP="00FF60A0">
            <w:pPr>
              <w:pStyle w:val="Standard1"/>
              <w:ind w:right="1404"/>
            </w:pPr>
          </w:p>
        </w:tc>
      </w:tr>
      <w:tr w:rsidR="004C47D3" w:rsidRPr="00711DD9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711DD9" w:rsidRDefault="004C47D3" w:rsidP="00FF60A0">
            <w:pPr>
              <w:pStyle w:val="Standard1"/>
            </w:pPr>
            <w:r w:rsidRPr="00711DD9">
              <w:t xml:space="preserve">Attendees: </w:t>
            </w:r>
          </w:p>
        </w:tc>
      </w:tr>
      <w:tr w:rsidR="004C47D3" w:rsidRPr="00711DD9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2561F299" w:rsidR="004C47D3" w:rsidRPr="0041226E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>
              <w:t xml:space="preserve">Janice Blum (Chair), </w:t>
            </w:r>
            <w:r w:rsidR="00641467">
              <w:t xml:space="preserve">Margaret Adamek, Kyle Anderson, Pierre Atlas, Keith Avin, Kathi Badertscher, </w:t>
            </w:r>
            <w:r w:rsidR="004D5CFD">
              <w:t xml:space="preserve">John Brokaw, </w:t>
            </w:r>
            <w:r w:rsidR="00641467">
              <w:t xml:space="preserve">Rebecca Ellis, Erin Engels, Margie Ferguson, Ray Haberski, Tabitha Hardy, Cleveland Hayes, Monica Henry, Brittney-Shea Herbert, Dawn Holder, Thomas Hurley, Amelia Hurt, Michael Klemsz, Frank Lippert, Kim Lewis, Sara Lowe, Karl MacDorman, Jennifer Mahoney, </w:t>
            </w:r>
            <w:r w:rsidR="00023A7D">
              <w:t xml:space="preserve">Kevin McCracken, </w:t>
            </w:r>
            <w:r w:rsidR="00641467">
              <w:t>Kyle Minor, Jennifer Piatt, Christine Picard, Zach Riley, Randall Roper,</w:t>
            </w:r>
            <w:r w:rsidR="004D5CFD">
              <w:t xml:space="preserve"> Anita Sale,</w:t>
            </w:r>
            <w:r w:rsidR="00641467">
              <w:t xml:space="preserve"> Kelly Sumner, Jeffery Wilson, Lloyd Thomas Wilson, Juan Yepes, Yan Zhuang, </w:t>
            </w:r>
            <w:r>
              <w:t xml:space="preserve"> Staff: Dezra Despain  </w:t>
            </w:r>
            <w:r w:rsidRPr="00711DD9">
              <w:t xml:space="preserve"> </w:t>
            </w:r>
          </w:p>
        </w:tc>
      </w:tr>
      <w:bookmarkEnd w:id="3"/>
      <w:tr w:rsidR="004C47D3" w:rsidRPr="00711DD9" w14:paraId="42B65F6A" w14:textId="77777777" w:rsidTr="00FF60A0">
        <w:tc>
          <w:tcPr>
            <w:tcW w:w="11178" w:type="dxa"/>
            <w:gridSpan w:val="2"/>
          </w:tcPr>
          <w:p w14:paraId="60D0BB82" w14:textId="3B1F1099" w:rsidR="004C47D3" w:rsidRPr="00711DD9" w:rsidRDefault="006B359A" w:rsidP="00FF60A0">
            <w:pPr>
              <w:pStyle w:val="Standard1"/>
            </w:pPr>
            <w:r>
              <w:t>Guest: James Gladden, Provost and Executive Vice Chancellor IU Indianapolis</w:t>
            </w:r>
          </w:p>
        </w:tc>
      </w:tr>
    </w:tbl>
    <w:p w14:paraId="15C520EE" w14:textId="77777777" w:rsidR="006C578B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9A1C91" w14:paraId="1450F944" w14:textId="77777777" w:rsidTr="00C80BF5">
        <w:tc>
          <w:tcPr>
            <w:tcW w:w="9828" w:type="dxa"/>
          </w:tcPr>
          <w:p w14:paraId="54E3F421" w14:textId="77777777" w:rsidR="009A1C91" w:rsidRDefault="009A1C91" w:rsidP="009A1C91">
            <w:pPr>
              <w:pStyle w:val="Standard1"/>
            </w:pPr>
            <w:r>
              <w:t>1:30 p.m. James Gladden, Provost and Executive Vice Chancellor IU Indianapolis</w:t>
            </w:r>
          </w:p>
        </w:tc>
        <w:tc>
          <w:tcPr>
            <w:tcW w:w="1350" w:type="dxa"/>
          </w:tcPr>
          <w:p w14:paraId="48197958" w14:textId="77777777" w:rsidR="009A1C91" w:rsidRDefault="009A1C91" w:rsidP="009A1C91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02B039BA" w14:textId="77777777" w:rsidTr="008D5847">
        <w:tc>
          <w:tcPr>
            <w:tcW w:w="9828" w:type="dxa"/>
          </w:tcPr>
          <w:p w14:paraId="49A87B08" w14:textId="2115C663" w:rsidR="001276C3" w:rsidRDefault="001276C3" w:rsidP="006C578B">
            <w:pPr>
              <w:pStyle w:val="Standard1"/>
            </w:pPr>
            <w:r>
              <w:t xml:space="preserve">Approval of the Minutes for </w:t>
            </w:r>
            <w:r w:rsidR="00710470">
              <w:t>January 28, 2025</w:t>
            </w:r>
          </w:p>
        </w:tc>
        <w:tc>
          <w:tcPr>
            <w:tcW w:w="1350" w:type="dxa"/>
          </w:tcPr>
          <w:p w14:paraId="5F84BF6A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0764BEB8" w14:textId="77777777" w:rsidTr="008D5847">
        <w:tc>
          <w:tcPr>
            <w:tcW w:w="9828" w:type="dxa"/>
          </w:tcPr>
          <w:p w14:paraId="3DA33D7B" w14:textId="77777777" w:rsidR="001276C3" w:rsidRDefault="001276C3" w:rsidP="006C57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3A7A7845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6EC7CC8D" w14:textId="77777777" w:rsidTr="008D5847">
        <w:tc>
          <w:tcPr>
            <w:tcW w:w="9828" w:type="dxa"/>
          </w:tcPr>
          <w:p w14:paraId="3EF54F8B" w14:textId="77777777" w:rsidR="001276C3" w:rsidRDefault="001276C3" w:rsidP="006C578B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1276C3" w14:paraId="256BF1C5" w14:textId="77777777" w:rsidTr="008D5847">
        <w:tc>
          <w:tcPr>
            <w:tcW w:w="9828" w:type="dxa"/>
          </w:tcPr>
          <w:p w14:paraId="01FF41ED" w14:textId="77777777" w:rsidR="001276C3" w:rsidRDefault="001276C3" w:rsidP="006C578B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1276C3" w14:paraId="51E3611A" w14:textId="77777777" w:rsidTr="008D5847">
        <w:tc>
          <w:tcPr>
            <w:tcW w:w="9828" w:type="dxa"/>
          </w:tcPr>
          <w:p w14:paraId="3926E3CA" w14:textId="77777777" w:rsidR="001276C3" w:rsidRDefault="001276C3" w:rsidP="006C578B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23FD9254" w14:textId="562397E0" w:rsidR="001276C3" w:rsidRPr="00141F0E" w:rsidRDefault="00856EC8" w:rsidP="006C578B">
            <w:pPr>
              <w:pStyle w:val="Standard1"/>
              <w:tabs>
                <w:tab w:val="left" w:pos="72"/>
              </w:tabs>
              <w:jc w:val="right"/>
            </w:pPr>
            <w:r>
              <w:t>Brokaw</w:t>
            </w:r>
          </w:p>
        </w:tc>
      </w:tr>
      <w:tr w:rsidR="001276C3" w14:paraId="6CC1230B" w14:textId="77777777" w:rsidTr="008D5847">
        <w:tc>
          <w:tcPr>
            <w:tcW w:w="9828" w:type="dxa"/>
          </w:tcPr>
          <w:p w14:paraId="1B111251" w14:textId="475978FE" w:rsidR="001276C3" w:rsidRDefault="001276C3" w:rsidP="006C578B">
            <w:pPr>
              <w:pStyle w:val="Standard1"/>
            </w:pPr>
            <w:r>
              <w:t xml:space="preserve">Graduate </w:t>
            </w:r>
            <w:r w:rsidR="00F26D77">
              <w:t>School</w:t>
            </w:r>
            <w:r>
              <w:t xml:space="preserve"> Reports</w:t>
            </w:r>
          </w:p>
        </w:tc>
        <w:tc>
          <w:tcPr>
            <w:tcW w:w="1350" w:type="dxa"/>
          </w:tcPr>
          <w:p w14:paraId="78F8682B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7BB340D7" w14:textId="77777777" w:rsidTr="008D5847">
        <w:tc>
          <w:tcPr>
            <w:tcW w:w="9828" w:type="dxa"/>
          </w:tcPr>
          <w:p w14:paraId="486A4CB7" w14:textId="77777777" w:rsidR="001276C3" w:rsidRDefault="001276C3" w:rsidP="006C578B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1EB1E90B" w14:textId="77777777" w:rsidTr="008D5847">
        <w:tc>
          <w:tcPr>
            <w:tcW w:w="9828" w:type="dxa"/>
          </w:tcPr>
          <w:p w14:paraId="26CB62E1" w14:textId="77777777" w:rsidR="001276C3" w:rsidRDefault="001276C3" w:rsidP="006C578B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639D256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2D287245" w14:textId="77777777" w:rsidTr="008D5847">
        <w:tc>
          <w:tcPr>
            <w:tcW w:w="9828" w:type="dxa"/>
          </w:tcPr>
          <w:p w14:paraId="2A461D0B" w14:textId="77777777" w:rsidR="001276C3" w:rsidRDefault="001276C3" w:rsidP="006C578B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 xml:space="preserve">Klemsz </w:t>
            </w:r>
          </w:p>
        </w:tc>
      </w:tr>
      <w:tr w:rsidR="001276C3" w14:paraId="794208D9" w14:textId="77777777" w:rsidTr="008D5847">
        <w:tc>
          <w:tcPr>
            <w:tcW w:w="9828" w:type="dxa"/>
          </w:tcPr>
          <w:p w14:paraId="03B48EB2" w14:textId="77777777" w:rsidR="001276C3" w:rsidRDefault="001276C3" w:rsidP="006C578B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6364B7" w14:paraId="342DC439" w14:textId="77777777" w:rsidTr="008D5847">
        <w:tc>
          <w:tcPr>
            <w:tcW w:w="9828" w:type="dxa"/>
          </w:tcPr>
          <w:p w14:paraId="5ACD9C5E" w14:textId="77777777" w:rsidR="006364B7" w:rsidRPr="006364B7" w:rsidRDefault="006364B7" w:rsidP="006364B7">
            <w:pPr>
              <w:pStyle w:val="Standard1"/>
            </w:pPr>
            <w:r w:rsidRPr="006364B7">
              <w:t>Discussion:</w:t>
            </w:r>
          </w:p>
          <w:p w14:paraId="1CF49DF0" w14:textId="77777777" w:rsidR="006364B7" w:rsidRPr="006364B7" w:rsidRDefault="006364B7" w:rsidP="006364B7">
            <w:pPr>
              <w:pStyle w:val="Standard1"/>
              <w:numPr>
                <w:ilvl w:val="0"/>
                <w:numId w:val="7"/>
              </w:numPr>
            </w:pPr>
            <w:r w:rsidRPr="006364B7">
              <w:t>Reminder – Use of Principles of Graduate and Professional Student Learning</w:t>
            </w:r>
          </w:p>
          <w:p w14:paraId="6F5BC738" w14:textId="77777777" w:rsidR="006364B7" w:rsidRPr="006364B7" w:rsidRDefault="006364B7" w:rsidP="006364B7">
            <w:pPr>
              <w:pStyle w:val="Standard1"/>
              <w:numPr>
                <w:ilvl w:val="0"/>
                <w:numId w:val="7"/>
              </w:numPr>
            </w:pPr>
            <w:r w:rsidRPr="006364B7">
              <w:t>Doctoral Student Minors</w:t>
            </w:r>
          </w:p>
          <w:p w14:paraId="45570A35" w14:textId="1753C89C" w:rsidR="006364B7" w:rsidRPr="006364B7" w:rsidRDefault="006364B7" w:rsidP="006364B7">
            <w:pPr>
              <w:pStyle w:val="Standard1"/>
              <w:numPr>
                <w:ilvl w:val="0"/>
                <w:numId w:val="7"/>
              </w:numPr>
            </w:pPr>
            <w:r w:rsidRPr="006364B7">
              <w:t>Timely Topics</w:t>
            </w:r>
          </w:p>
        </w:tc>
        <w:tc>
          <w:tcPr>
            <w:tcW w:w="1350" w:type="dxa"/>
          </w:tcPr>
          <w:p w14:paraId="372F7F27" w14:textId="2D5DE72C" w:rsidR="006364B7" w:rsidRDefault="006364B7" w:rsidP="006C578B">
            <w:pPr>
              <w:pStyle w:val="Standard1"/>
              <w:tabs>
                <w:tab w:val="left" w:pos="72"/>
              </w:tabs>
              <w:jc w:val="right"/>
            </w:pPr>
            <w:r>
              <w:t>Blum</w:t>
            </w:r>
            <w:r w:rsidR="00317872">
              <w:t xml:space="preserve"> &amp; Avin</w:t>
            </w:r>
          </w:p>
        </w:tc>
      </w:tr>
      <w:tr w:rsidR="001276C3" w14:paraId="704A630D" w14:textId="77777777" w:rsidTr="008D5847">
        <w:tc>
          <w:tcPr>
            <w:tcW w:w="9828" w:type="dxa"/>
          </w:tcPr>
          <w:p w14:paraId="30ED997D" w14:textId="77777777" w:rsidR="001276C3" w:rsidRPr="006364B7" w:rsidRDefault="001276C3" w:rsidP="006C578B">
            <w:pPr>
              <w:pStyle w:val="Standard1"/>
            </w:pPr>
            <w:r w:rsidRPr="006364B7">
              <w:t>Consent Agenda</w:t>
            </w:r>
          </w:p>
          <w:p w14:paraId="21BDB563" w14:textId="77777777" w:rsidR="00605A21" w:rsidRPr="006364B7" w:rsidRDefault="00605A21" w:rsidP="00605A21">
            <w:pPr>
              <w:pStyle w:val="Standard1"/>
              <w:numPr>
                <w:ilvl w:val="0"/>
                <w:numId w:val="5"/>
              </w:numPr>
            </w:pPr>
            <w:r w:rsidRPr="006364B7">
              <w:t>New Analytical and Bioanalytical Chemistry PhD minor in the School of Science</w:t>
            </w:r>
          </w:p>
          <w:p w14:paraId="05E45E3A" w14:textId="77777777" w:rsidR="00605A21" w:rsidRPr="006364B7" w:rsidRDefault="00605A21" w:rsidP="00605A21">
            <w:pPr>
              <w:pStyle w:val="Standard1"/>
              <w:numPr>
                <w:ilvl w:val="0"/>
                <w:numId w:val="5"/>
              </w:numPr>
            </w:pPr>
            <w:r w:rsidRPr="006364B7">
              <w:t>New Molecular Biosciences PhD minor in the School of Science</w:t>
            </w:r>
          </w:p>
          <w:p w14:paraId="24FF8095" w14:textId="77777777" w:rsidR="00605A21" w:rsidRPr="006364B7" w:rsidRDefault="00605A21" w:rsidP="00605A21">
            <w:pPr>
              <w:pStyle w:val="Standard1"/>
              <w:numPr>
                <w:ilvl w:val="0"/>
                <w:numId w:val="5"/>
              </w:numPr>
            </w:pPr>
            <w:r w:rsidRPr="006364B7">
              <w:t>Change to the plan of study in the Addiction Neuroscience PhD program (and the non-terminal MS) in the School of Science</w:t>
            </w:r>
          </w:p>
          <w:p w14:paraId="78F49FBA" w14:textId="77777777" w:rsidR="00605A21" w:rsidRPr="006364B7" w:rsidRDefault="00605A21" w:rsidP="00605A21">
            <w:pPr>
              <w:pStyle w:val="Standard1"/>
              <w:numPr>
                <w:ilvl w:val="0"/>
                <w:numId w:val="5"/>
              </w:numPr>
            </w:pPr>
            <w:r w:rsidRPr="006364B7">
              <w:t>Change to the plan of study in the Clinical Psychology PhD program (and the non-terminal MS) in the School of Science</w:t>
            </w:r>
          </w:p>
          <w:p w14:paraId="5BA0AD56" w14:textId="77777777" w:rsidR="00605A21" w:rsidRPr="006364B7" w:rsidRDefault="00605A21" w:rsidP="00605A21">
            <w:pPr>
              <w:pStyle w:val="Standard1"/>
              <w:numPr>
                <w:ilvl w:val="0"/>
                <w:numId w:val="5"/>
              </w:numPr>
            </w:pPr>
            <w:r w:rsidRPr="006364B7">
              <w:t>Change to the plan of study for the following concentrations in the MPH program from Fairbanks School of Public Health</w:t>
            </w:r>
          </w:p>
          <w:p w14:paraId="3E26A55E" w14:textId="77777777" w:rsidR="00605A21" w:rsidRPr="006364B7" w:rsidRDefault="00605A21" w:rsidP="00605A21">
            <w:pPr>
              <w:pStyle w:val="Standard1"/>
              <w:numPr>
                <w:ilvl w:val="1"/>
                <w:numId w:val="5"/>
              </w:numPr>
            </w:pPr>
            <w:r w:rsidRPr="006364B7">
              <w:t>Epidemiology</w:t>
            </w:r>
          </w:p>
          <w:p w14:paraId="6BA2DAEA" w14:textId="77777777" w:rsidR="00605A21" w:rsidRPr="006364B7" w:rsidRDefault="00605A21" w:rsidP="00605A21">
            <w:pPr>
              <w:pStyle w:val="Standard1"/>
              <w:numPr>
                <w:ilvl w:val="1"/>
                <w:numId w:val="5"/>
              </w:numPr>
            </w:pPr>
            <w:r w:rsidRPr="006364B7">
              <w:t>Health Policy &amp; Management</w:t>
            </w:r>
          </w:p>
          <w:p w14:paraId="61B5460E" w14:textId="77777777" w:rsidR="00605A21" w:rsidRPr="006364B7" w:rsidRDefault="00605A21" w:rsidP="00605A21">
            <w:pPr>
              <w:pStyle w:val="Standard1"/>
              <w:numPr>
                <w:ilvl w:val="1"/>
                <w:numId w:val="5"/>
              </w:numPr>
            </w:pPr>
            <w:r w:rsidRPr="006364B7">
              <w:t>Interdisciplinary Public Health Studies</w:t>
            </w:r>
          </w:p>
          <w:p w14:paraId="024D7B74" w14:textId="77777777" w:rsidR="00605A21" w:rsidRPr="006364B7" w:rsidRDefault="00605A21" w:rsidP="00605A21">
            <w:pPr>
              <w:pStyle w:val="Standard1"/>
              <w:numPr>
                <w:ilvl w:val="1"/>
                <w:numId w:val="5"/>
              </w:numPr>
            </w:pPr>
            <w:r w:rsidRPr="006364B7">
              <w:t>Social and Behavioral Sciences</w:t>
            </w:r>
          </w:p>
          <w:p w14:paraId="7185C7FC" w14:textId="77777777" w:rsidR="00605A21" w:rsidRPr="006364B7" w:rsidRDefault="00605A21" w:rsidP="00605A21">
            <w:pPr>
              <w:pStyle w:val="Standard1"/>
              <w:numPr>
                <w:ilvl w:val="0"/>
                <w:numId w:val="5"/>
              </w:numPr>
            </w:pPr>
            <w:r w:rsidRPr="006364B7">
              <w:t>Change to the plan of study in the MS Global Health and Sustainable Development program from Fairbanks School of Public Health</w:t>
            </w:r>
          </w:p>
          <w:p w14:paraId="7419E744" w14:textId="77777777" w:rsidR="003210ED" w:rsidRPr="006364B7" w:rsidRDefault="003210ED" w:rsidP="003210ED">
            <w:pPr>
              <w:pStyle w:val="Standard1"/>
              <w:numPr>
                <w:ilvl w:val="0"/>
                <w:numId w:val="5"/>
              </w:numPr>
            </w:pPr>
            <w:r w:rsidRPr="006364B7">
              <w:t>Name change for the following programs in the School of Nursing:</w:t>
            </w:r>
          </w:p>
          <w:tbl>
            <w:tblPr>
              <w:tblW w:w="9630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0"/>
              <w:gridCol w:w="5040"/>
            </w:tblGrid>
            <w:tr w:rsidR="006364B7" w:rsidRPr="006364B7" w14:paraId="6429EEA1" w14:textId="77777777" w:rsidTr="006D64B5">
              <w:trPr>
                <w:trHeight w:val="319"/>
              </w:trPr>
              <w:tc>
                <w:tcPr>
                  <w:tcW w:w="4590" w:type="dxa"/>
                </w:tcPr>
                <w:p w14:paraId="20CA1F6E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rPr>
                      <w:b/>
                      <w:bCs/>
                      <w:sz w:val="21"/>
                      <w:szCs w:val="21"/>
                    </w:rPr>
                    <w:lastRenderedPageBreak/>
                    <w:t>Formal Name</w:t>
                  </w:r>
                </w:p>
              </w:tc>
              <w:tc>
                <w:tcPr>
                  <w:tcW w:w="5040" w:type="dxa"/>
                </w:tcPr>
                <w:p w14:paraId="05247F07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rPr>
                      <w:b/>
                      <w:bCs/>
                      <w:sz w:val="21"/>
                      <w:szCs w:val="21"/>
                    </w:rPr>
                    <w:t>New Formal Name</w:t>
                  </w:r>
                </w:p>
              </w:tc>
            </w:tr>
            <w:tr w:rsidR="006364B7" w:rsidRPr="006364B7" w14:paraId="6F879BAC" w14:textId="77777777" w:rsidTr="006D64B5">
              <w:trPr>
                <w:trHeight w:val="319"/>
              </w:trPr>
              <w:tc>
                <w:tcPr>
                  <w:tcW w:w="4590" w:type="dxa"/>
                </w:tcPr>
                <w:p w14:paraId="1F600EFA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Post-MSN Grad Cert in Family Nurse Practitioner </w:t>
                  </w:r>
                </w:p>
              </w:tc>
              <w:tc>
                <w:tcPr>
                  <w:tcW w:w="5040" w:type="dxa"/>
                </w:tcPr>
                <w:p w14:paraId="432B4F22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Post-graduate APRN Certificate in Family Nurse Practitioner </w:t>
                  </w:r>
                </w:p>
              </w:tc>
            </w:tr>
            <w:tr w:rsidR="006364B7" w:rsidRPr="006364B7" w14:paraId="4D6BD3AD" w14:textId="77777777" w:rsidTr="006D64B5">
              <w:trPr>
                <w:trHeight w:val="319"/>
              </w:trPr>
              <w:tc>
                <w:tcPr>
                  <w:tcW w:w="4590" w:type="dxa"/>
                </w:tcPr>
                <w:p w14:paraId="406C0AE6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Post-MSN Grad Cert in Pediatric Nurse Practitioner - Primary Care </w:t>
                  </w:r>
                </w:p>
              </w:tc>
              <w:tc>
                <w:tcPr>
                  <w:tcW w:w="5040" w:type="dxa"/>
                </w:tcPr>
                <w:p w14:paraId="0BEAE550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Post-graduate APRN Certificate in Primary Care Pediatric Nurse Practitioner </w:t>
                  </w:r>
                </w:p>
              </w:tc>
            </w:tr>
            <w:tr w:rsidR="006364B7" w:rsidRPr="006364B7" w14:paraId="1C147DC9" w14:textId="77777777" w:rsidTr="006D64B5">
              <w:trPr>
                <w:trHeight w:val="319"/>
              </w:trPr>
              <w:tc>
                <w:tcPr>
                  <w:tcW w:w="4590" w:type="dxa"/>
                </w:tcPr>
                <w:p w14:paraId="3CA474BB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Post-MSN Grad Cert in Psychiatric-Mental Health Nurse Practitioner </w:t>
                  </w:r>
                </w:p>
              </w:tc>
              <w:tc>
                <w:tcPr>
                  <w:tcW w:w="5040" w:type="dxa"/>
                </w:tcPr>
                <w:p w14:paraId="0C1EFE75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Post-graduate APRN Certificate in Psychiatric Mental Health Nurse Practitioner </w:t>
                  </w:r>
                </w:p>
              </w:tc>
            </w:tr>
            <w:tr w:rsidR="006364B7" w:rsidRPr="006364B7" w14:paraId="154F5227" w14:textId="77777777" w:rsidTr="006D64B5">
              <w:trPr>
                <w:trHeight w:val="319"/>
              </w:trPr>
              <w:tc>
                <w:tcPr>
                  <w:tcW w:w="4590" w:type="dxa"/>
                </w:tcPr>
                <w:p w14:paraId="592A5319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Post-Master in Adult-Gerontology Clinical Nurse Specialist (IU)/Post-Master in Pediatric Clinical Nurse Specialist </w:t>
                  </w:r>
                </w:p>
              </w:tc>
              <w:tc>
                <w:tcPr>
                  <w:tcW w:w="5040" w:type="dxa"/>
                </w:tcPr>
                <w:p w14:paraId="47C2C012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Post-graduate APRN Certificate in Adult-Gerontology Clinical Nurse Specialist </w:t>
                  </w:r>
                </w:p>
              </w:tc>
            </w:tr>
            <w:tr w:rsidR="006364B7" w:rsidRPr="006364B7" w14:paraId="324CA11C" w14:textId="77777777" w:rsidTr="006D64B5">
              <w:trPr>
                <w:trHeight w:val="319"/>
              </w:trPr>
              <w:tc>
                <w:tcPr>
                  <w:tcW w:w="4590" w:type="dxa"/>
                </w:tcPr>
                <w:p w14:paraId="1F0F4CF4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Post-Master in Pediatric Clinical Nurse Specialist </w:t>
                  </w:r>
                </w:p>
              </w:tc>
              <w:tc>
                <w:tcPr>
                  <w:tcW w:w="5040" w:type="dxa"/>
                </w:tcPr>
                <w:p w14:paraId="2907FB9E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Post-graduate APRN Certificate in Pediatric Clinical Nurse Specialist </w:t>
                  </w:r>
                </w:p>
              </w:tc>
            </w:tr>
            <w:tr w:rsidR="006364B7" w:rsidRPr="006364B7" w14:paraId="2E43199D" w14:textId="77777777" w:rsidTr="006D64B5">
              <w:trPr>
                <w:trHeight w:val="319"/>
              </w:trPr>
              <w:tc>
                <w:tcPr>
                  <w:tcW w:w="4590" w:type="dxa"/>
                </w:tcPr>
                <w:p w14:paraId="40CD784D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 xml:space="preserve">Post-MS in Nursing Graduate Certificate Adult-Gerontology Nurse Practitioner (Acute Care) </w:t>
                  </w:r>
                </w:p>
              </w:tc>
              <w:tc>
                <w:tcPr>
                  <w:tcW w:w="5040" w:type="dxa"/>
                </w:tcPr>
                <w:p w14:paraId="258D069A" w14:textId="77777777" w:rsidR="003210ED" w:rsidRPr="006364B7" w:rsidRDefault="003210ED" w:rsidP="00317872">
                  <w:pPr>
                    <w:pStyle w:val="Standard1"/>
                    <w:framePr w:hSpace="187" w:wrap="around" w:vAnchor="text" w:hAnchor="margin" w:y="1"/>
                  </w:pPr>
                  <w:r w:rsidRPr="006364B7">
                    <w:t>Post-graduate APRN Certificate in Adult-Gerontology Acute Care Nurse Practitioner</w:t>
                  </w:r>
                </w:p>
              </w:tc>
            </w:tr>
          </w:tbl>
          <w:p w14:paraId="1EC2C6DC" w14:textId="77777777" w:rsidR="001276C3" w:rsidRPr="006364B7" w:rsidRDefault="001276C3" w:rsidP="006C578B">
            <w:pPr>
              <w:pStyle w:val="Standard1"/>
            </w:pPr>
          </w:p>
        </w:tc>
        <w:tc>
          <w:tcPr>
            <w:tcW w:w="1350" w:type="dxa"/>
          </w:tcPr>
          <w:p w14:paraId="3153A0BE" w14:textId="44885BF2" w:rsidR="001276C3" w:rsidRDefault="00317872" w:rsidP="006C578B">
            <w:pPr>
              <w:pStyle w:val="Standard1"/>
              <w:tabs>
                <w:tab w:val="left" w:pos="72"/>
              </w:tabs>
              <w:jc w:val="right"/>
            </w:pPr>
            <w:r>
              <w:lastRenderedPageBreak/>
              <w:t>Avin</w:t>
            </w:r>
          </w:p>
        </w:tc>
      </w:tr>
      <w:tr w:rsidR="006D64B5" w14:paraId="28867A88" w14:textId="77777777" w:rsidTr="00FD1144">
        <w:tc>
          <w:tcPr>
            <w:tcW w:w="11178" w:type="dxa"/>
            <w:gridSpan w:val="2"/>
          </w:tcPr>
          <w:p w14:paraId="38B2A895" w14:textId="77777777" w:rsidR="005E4226" w:rsidRDefault="006D64B5" w:rsidP="00FD1144">
            <w:pPr>
              <w:pStyle w:val="Standard1"/>
            </w:pPr>
            <w:r>
              <w:t>Informational Item</w:t>
            </w:r>
            <w:r w:rsidR="005E4226">
              <w:t>s</w:t>
            </w:r>
            <w:r>
              <w:t xml:space="preserve">: </w:t>
            </w:r>
          </w:p>
          <w:p w14:paraId="13052C6C" w14:textId="77777777" w:rsidR="006D64B5" w:rsidRDefault="006D64B5" w:rsidP="005E4226">
            <w:pPr>
              <w:pStyle w:val="Standard1"/>
              <w:numPr>
                <w:ilvl w:val="0"/>
                <w:numId w:val="6"/>
              </w:numPr>
            </w:pPr>
            <w:r>
              <w:t xml:space="preserve">The Graduate Affairs Committee approved the </w:t>
            </w:r>
            <w:r w:rsidRPr="006D64B5">
              <w:t>Master of Science in Biomedical Engineering</w:t>
            </w:r>
            <w:r>
              <w:t xml:space="preserve"> from the Luddy School of Informatics, Computing, and Engineering at Indianapolis via an electronic vote on February 5, 2025.</w:t>
            </w:r>
          </w:p>
          <w:p w14:paraId="3BEA59DE" w14:textId="4B7EBC05" w:rsidR="005E4226" w:rsidRDefault="005E4226" w:rsidP="005E4226">
            <w:pPr>
              <w:pStyle w:val="Standard1"/>
              <w:numPr>
                <w:ilvl w:val="0"/>
                <w:numId w:val="6"/>
              </w:numPr>
            </w:pPr>
            <w:r>
              <w:t>The PhD minor in Environmental Health Science to be removed from the University Graduate School Bulletin.</w:t>
            </w:r>
          </w:p>
        </w:tc>
      </w:tr>
    </w:tbl>
    <w:p w14:paraId="3C94F7D7" w14:textId="77777777" w:rsidR="00604182" w:rsidRDefault="00604182" w:rsidP="006C578B"/>
    <w:p w14:paraId="7E204A73" w14:textId="37C00128" w:rsidR="001276C3" w:rsidRPr="001276C3" w:rsidRDefault="00604182" w:rsidP="006C578B">
      <w:pPr>
        <w:rPr>
          <w:sz w:val="28"/>
          <w:szCs w:val="28"/>
        </w:rPr>
      </w:pPr>
      <w:r>
        <w:t>Next Meeting and Adjournment (</w:t>
      </w:r>
      <w:r w:rsidR="00633F8B">
        <w:rPr>
          <w:b/>
        </w:rPr>
        <w:t>March 25, 2025</w:t>
      </w:r>
      <w:r>
        <w:rPr>
          <w:b/>
        </w:rPr>
        <w:t>, 1:30 pm, Zoom</w:t>
      </w:r>
      <w:r>
        <w:t>)</w:t>
      </w:r>
    </w:p>
    <w:sectPr w:rsidR="001276C3" w:rsidRPr="001276C3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6A11"/>
    <w:multiLevelType w:val="hybridMultilevel"/>
    <w:tmpl w:val="BD2E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571C"/>
    <w:multiLevelType w:val="hybridMultilevel"/>
    <w:tmpl w:val="0FCC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E3A84"/>
    <w:multiLevelType w:val="hybridMultilevel"/>
    <w:tmpl w:val="23E6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2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4"/>
  </w:num>
  <w:num w:numId="5" w16cid:durableId="369038147">
    <w:abstractNumId w:val="5"/>
  </w:num>
  <w:num w:numId="6" w16cid:durableId="1659654144">
    <w:abstractNumId w:val="3"/>
  </w:num>
  <w:num w:numId="7" w16cid:durableId="1393851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23A7D"/>
    <w:rsid w:val="00050FF3"/>
    <w:rsid w:val="000623DA"/>
    <w:rsid w:val="000641D1"/>
    <w:rsid w:val="00073135"/>
    <w:rsid w:val="0007572D"/>
    <w:rsid w:val="00081FC4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276C3"/>
    <w:rsid w:val="00141F0E"/>
    <w:rsid w:val="0015789B"/>
    <w:rsid w:val="00181C5D"/>
    <w:rsid w:val="00184A4F"/>
    <w:rsid w:val="001A17CC"/>
    <w:rsid w:val="001B118D"/>
    <w:rsid w:val="001B7575"/>
    <w:rsid w:val="001C3742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7C72"/>
    <w:rsid w:val="002D7299"/>
    <w:rsid w:val="002E09C0"/>
    <w:rsid w:val="002F2A5F"/>
    <w:rsid w:val="002F7460"/>
    <w:rsid w:val="00311ABD"/>
    <w:rsid w:val="0031223C"/>
    <w:rsid w:val="00317872"/>
    <w:rsid w:val="00317EC3"/>
    <w:rsid w:val="003210ED"/>
    <w:rsid w:val="0032242A"/>
    <w:rsid w:val="003314DC"/>
    <w:rsid w:val="003562C8"/>
    <w:rsid w:val="00357136"/>
    <w:rsid w:val="00357FE0"/>
    <w:rsid w:val="003810CF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12C2E"/>
    <w:rsid w:val="00415C27"/>
    <w:rsid w:val="00416412"/>
    <w:rsid w:val="00424B8F"/>
    <w:rsid w:val="004368C8"/>
    <w:rsid w:val="00437F13"/>
    <w:rsid w:val="004408FD"/>
    <w:rsid w:val="004655DC"/>
    <w:rsid w:val="00475127"/>
    <w:rsid w:val="00477E24"/>
    <w:rsid w:val="004968D3"/>
    <w:rsid w:val="004A16DB"/>
    <w:rsid w:val="004A3ED8"/>
    <w:rsid w:val="004C47D3"/>
    <w:rsid w:val="004D5CFD"/>
    <w:rsid w:val="004D7ED5"/>
    <w:rsid w:val="004F670D"/>
    <w:rsid w:val="0050422E"/>
    <w:rsid w:val="00520B88"/>
    <w:rsid w:val="00524AB4"/>
    <w:rsid w:val="00561E83"/>
    <w:rsid w:val="00575BE9"/>
    <w:rsid w:val="00584642"/>
    <w:rsid w:val="00594956"/>
    <w:rsid w:val="005D140C"/>
    <w:rsid w:val="005E4226"/>
    <w:rsid w:val="00604182"/>
    <w:rsid w:val="00605A21"/>
    <w:rsid w:val="0061612B"/>
    <w:rsid w:val="0062018B"/>
    <w:rsid w:val="00633F8B"/>
    <w:rsid w:val="006364B7"/>
    <w:rsid w:val="00641467"/>
    <w:rsid w:val="00641856"/>
    <w:rsid w:val="00641B79"/>
    <w:rsid w:val="006478DE"/>
    <w:rsid w:val="00651E5A"/>
    <w:rsid w:val="00660BAB"/>
    <w:rsid w:val="00661C76"/>
    <w:rsid w:val="006621F5"/>
    <w:rsid w:val="0066588B"/>
    <w:rsid w:val="0067465A"/>
    <w:rsid w:val="00674881"/>
    <w:rsid w:val="00691D1B"/>
    <w:rsid w:val="006936B0"/>
    <w:rsid w:val="006A2792"/>
    <w:rsid w:val="006B359A"/>
    <w:rsid w:val="006C0A5A"/>
    <w:rsid w:val="006C25AC"/>
    <w:rsid w:val="006C43E7"/>
    <w:rsid w:val="006C578B"/>
    <w:rsid w:val="006C7DB7"/>
    <w:rsid w:val="006D57FA"/>
    <w:rsid w:val="006D64B5"/>
    <w:rsid w:val="006E0635"/>
    <w:rsid w:val="006F3CD5"/>
    <w:rsid w:val="006F4FAA"/>
    <w:rsid w:val="006F63A6"/>
    <w:rsid w:val="00710470"/>
    <w:rsid w:val="00711F21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56EC8"/>
    <w:rsid w:val="00890FE1"/>
    <w:rsid w:val="008978AE"/>
    <w:rsid w:val="008A5F4F"/>
    <w:rsid w:val="008A7CFF"/>
    <w:rsid w:val="008A7E52"/>
    <w:rsid w:val="008D5847"/>
    <w:rsid w:val="008F5FA6"/>
    <w:rsid w:val="009105DE"/>
    <w:rsid w:val="00957C11"/>
    <w:rsid w:val="00967888"/>
    <w:rsid w:val="009A1C91"/>
    <w:rsid w:val="009C3DBC"/>
    <w:rsid w:val="009C5370"/>
    <w:rsid w:val="009D008D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42BD"/>
    <w:rsid w:val="00A552B5"/>
    <w:rsid w:val="00A70832"/>
    <w:rsid w:val="00A76952"/>
    <w:rsid w:val="00A90FD4"/>
    <w:rsid w:val="00A91D68"/>
    <w:rsid w:val="00A923DB"/>
    <w:rsid w:val="00A94252"/>
    <w:rsid w:val="00A96EB0"/>
    <w:rsid w:val="00AA5F67"/>
    <w:rsid w:val="00AA6E36"/>
    <w:rsid w:val="00AA70B4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644A"/>
    <w:rsid w:val="00B66BD4"/>
    <w:rsid w:val="00B9120C"/>
    <w:rsid w:val="00B93F2B"/>
    <w:rsid w:val="00B94CA9"/>
    <w:rsid w:val="00BA081D"/>
    <w:rsid w:val="00BA6A08"/>
    <w:rsid w:val="00BB32DC"/>
    <w:rsid w:val="00BC31DA"/>
    <w:rsid w:val="00BC5EE9"/>
    <w:rsid w:val="00BC7A14"/>
    <w:rsid w:val="00BD605A"/>
    <w:rsid w:val="00BF7BD0"/>
    <w:rsid w:val="00C01175"/>
    <w:rsid w:val="00C03B80"/>
    <w:rsid w:val="00C057CD"/>
    <w:rsid w:val="00C32C98"/>
    <w:rsid w:val="00C354D5"/>
    <w:rsid w:val="00C45F55"/>
    <w:rsid w:val="00C75B3C"/>
    <w:rsid w:val="00CA0519"/>
    <w:rsid w:val="00CA69FE"/>
    <w:rsid w:val="00CC543C"/>
    <w:rsid w:val="00CE77DB"/>
    <w:rsid w:val="00D010C4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84E"/>
    <w:rsid w:val="00DC6A63"/>
    <w:rsid w:val="00DD20C0"/>
    <w:rsid w:val="00DF6AC4"/>
    <w:rsid w:val="00E06E63"/>
    <w:rsid w:val="00E36BEA"/>
    <w:rsid w:val="00E536CA"/>
    <w:rsid w:val="00E65727"/>
    <w:rsid w:val="00E7222F"/>
    <w:rsid w:val="00E7392D"/>
    <w:rsid w:val="00E8133F"/>
    <w:rsid w:val="00E81805"/>
    <w:rsid w:val="00E857F2"/>
    <w:rsid w:val="00EA25B9"/>
    <w:rsid w:val="00EA66FF"/>
    <w:rsid w:val="00EB1B31"/>
    <w:rsid w:val="00EB7B1A"/>
    <w:rsid w:val="00F26D77"/>
    <w:rsid w:val="00F37C7D"/>
    <w:rsid w:val="00F72D30"/>
    <w:rsid w:val="00F73099"/>
    <w:rsid w:val="00FC5253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2</Pages>
  <Words>486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2025-02-10T17:28:00Z</dcterms:created>
  <dcterms:modified xsi:type="dcterms:W3CDTF">2025-02-20T18:28:00Z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